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Instrucțiuni privind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elaborarea lucrării în limba română de la Competiția Științifică Studențească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TITLUL LUCRĂRII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(Times New Roman, 14, Bold)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Autor(i): Nume Prenume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(Times New Roman, 12, Bold)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Profesor cordonator: Nume Prenume2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(Times New Roman, 12, Bold)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Rezumat: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Rezumatul descrie obiectivele lucrării şi sintetizează principalele rezultate obţinute (maxim 200 cuvinte). Tipul literelor – Times New Roman, dimensiunea literelor 12. Pentru cuvântul „rezumat” se va folosi Bold şi Italic, iar pentru restul textului doar Italic.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Cuvinte cheie: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 menţionează cuvinte (sau expresii) cheie care surprind esenţa lucrării (maxim 5 cuvinte cheie). Cuvintele cheie se trec în ordinea importanţei, cel mai reprezentativ fiind primul. Tipul literelor – Times New Roman, dimensiunea literelor 12. Pentru cuvintele „cuvinte cheie” se va folosi Bold şi Italic, pentru restul textului doar Italic.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Introducere (Times New Roman, 12, Bold)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Introducerea va avea minim ½ pagini.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Corpul lucrării (Times New Roman, 12, Bold) 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Corpul lucrării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va urmări evidențierea interpretărilor realizate (raportat la legislația aplicabilă în domeniu, la literatura juridică de specialitate, la practica judiciară în materie), a soluțiilor propuse, a caracterului interdisciplinar.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2.1.Exemplu de subsecțiune nivelul 1 (Times New Roman, 12, Bold)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Concluzii (Times New Roman, 12, Bold) și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Lege ferenda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secțiunea de Concluzii se va sublinia aplicabilitatea în practică a soluțiilor propuse de proiect. La sfârșitul lucrării va fi inserată o secțiune de Propuneri de lege ferenda în care se va arăta care sunt amendările legislative necesar a fi realizate astfel încât să se aducă plus valoare domeniului în cauză.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Bibliografie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au în vedere toate condiții specificate la secțiunea ”Observații”.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Observații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Lucrarea în format Word va avea minim 5 de pagini, dar nu mai mult de 10 de pagini (fără a include bibliografia).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Lucrarea va utiliza următoarele formatări: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Între cuvintele cheie și Introducere se lasă 2 rânduri libere;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Înainte și după fiecare titlu de secțiune/subsecțiune se lasă 1 rând liber;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Textul începe de la marginea paginii, fără aliniat.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Page setup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Page size A4, orientation portrait; Margins: mirror margins, top 3cm, bottom 2cm, inside 2.5cm, outside 2cm, gutter 0.5cm; Layout: header 1.7 cm (different odd and even), footer 0cm, section start continuous, page alignment top;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Page numbers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top, outside, font Times New Roman size 10, bold;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Paragraph format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line spacing single, uncheck widow/orphan protection, alignment justify;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Font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Times New Roman size 12, regular;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Figurile și tabelele trebuie să aibă titluri descriptive și se numeroteză cu numere arabe consecutive.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Bibliografie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Referințele bibliografice vor conține doar resursele la care se face referire în lucrare. Fiecare sursă pe care o citați în lucrare trebuie să apară și în lista bibliografică, ordonată alfabetic după numele de familie al primului autor; în mod similar, fiecare intrare din lista bibliografică trebuie să fie citată în textul lucrării. Vă sfătuim să aveți minimum 5-7 referințe în lucrare, iar aceste surse să reprezinte publicații recente în domeniu.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Note de subsol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Numele autorului: se va utiliza inițiala prenumelui, urmată de numele complet redactat cu italic. Ex.: T. Pop, V. Dongoroz, Gh. Beleiu, D. Alexandresco.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·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Titlul operei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se va utiliza numele întreg al operei pentru prima citare, scris fără italic, prima literă din titlu fiind literă mare. Ex.: Tratat de drept civil, Manual de drept penal, Drept penal. Partea Generală, Drept civil. Persoanele. Dacă opera conține mai multe volume, se va prescurta „vol.” la finalul titlului operei.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·         Ediția lucrării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se va menționa în cadrul numelui operei după aceleași reguli, fără prescurtări. Ex.: Curs de drept civil. Persoanele. Ediția a 2-a, actualizată; Drept penal. Partea Generală. Ediția a II-a.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·         Editura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se va prescurta „Ed.” și va fi plasată după numele operei. Ex.: Drept civil. Drepturile reale, Ed. C.H. Beck.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·         Localitatea redactării: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va redacta integral, după editură, cu literă mare.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·         Anul publicării operei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se va redacta integral, după localitatea publicării.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·         Pagina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se va prescurta „p.” pentru o singură pagină și „pp.” pentru mai multe pagini.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Exemplu citare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D. Alexandresco, Dreptul civil român în comparaţiune cu legile vechi şi cu principalele legislaţiuni străine. Tom V. Despre Obligaţiuni, Ed. Tipografiei Ziarului „Curierul Judiciar”, Bucureşti, 1906, p. 8.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·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Lucrările colective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 vor cita după următorul model: M.A. Hotca în Noul Cod Penal comentat. Partea Generală. Ediția a III-a (colectiv), ed. Universul Juridic, 2016, București, p. 747.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Dacă lucrarea colectivă are un coordonator, se va utiliza următorul model: A. Andone-Bontaş, Comentariul art. 56, în M. Udroiu (coord.) Codul de procedură penală. Comentariu pe articole, op. cit., p. 397, par. 5.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Articolele vor fi citate după următorul model: G.-A. Lazăr, Contestaţia împotriva deciziei de impunere fiscală în lumina Convenţiei europene a drepturilor omului, în Revista Română de Drept Privat nr. 6/2015, pp. 127-128.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adresa de e-mail pentru student ex. popescuion23@stud.ase.ro </w:t>
      </w:r>
    </w:p>
  </w:footnote>
  <w:footnote w:id="1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adresa de e-mail pentru profesor coordonator ex. ion.popescu@ drept.ase.ro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4649E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464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14649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XBKcnKmatqkf4G8M3nlj9UxWQ==">CgMxLjA4AHIhMXB1VkxCdDVsYUZTZm1BX1JnQ0l2T3BDUDFDTFdMQzFH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2024-02-18T12:07:00Z</dcterms:created>
  <dc:creator>Andreea S.</dc:creator>
</cp:coreProperties>
</file>